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4177" w:rsidRDefault="00567168">
      <w:pPr>
        <w:pStyle w:val="normal0"/>
      </w:pPr>
      <w:bookmarkStart w:id="0" w:name="h.gjdgxs" w:colFirst="0" w:colLast="0"/>
      <w:bookmarkEnd w:id="0"/>
      <w:r>
        <w:rPr>
          <w:rFonts w:ascii="Calibri" w:eastAsia="Calibri" w:hAnsi="Calibri" w:cs="Calibri"/>
          <w:b/>
        </w:rPr>
        <w:t>Teacher Name: 12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Type of Class:</w:t>
      </w:r>
      <w:r>
        <w:rPr>
          <w:rFonts w:ascii="Calibri" w:eastAsia="Calibri" w:hAnsi="Calibri" w:cs="Calibri"/>
          <w:b/>
        </w:rPr>
        <w:tab/>
        <w:t>ENG 3/ ESL</w:t>
      </w: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>Coach: 101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Date: 10/7/14</w:t>
      </w:r>
    </w:p>
    <w:p w:rsidR="00484177" w:rsidRDefault="00484177">
      <w:pPr>
        <w:pStyle w:val="normal0"/>
      </w:pPr>
    </w:p>
    <w:p w:rsidR="00484177" w:rsidRDefault="00567168">
      <w:pPr>
        <w:pStyle w:val="normal0"/>
      </w:pPr>
      <w:commentRangeStart w:id="1"/>
      <w:r>
        <w:rPr>
          <w:rFonts w:ascii="Calibri" w:eastAsia="Calibri" w:hAnsi="Calibri" w:cs="Calibri"/>
          <w:b/>
        </w:rPr>
        <w:t xml:space="preserve">**WOULD LIKE TO DISCUSS A NEW WAY TO ANSWER AND SHARE OUT THE QUESTIONS FOR THIS </w:t>
      </w:r>
      <w:proofErr w:type="gramStart"/>
      <w:r>
        <w:rPr>
          <w:rFonts w:ascii="Calibri" w:eastAsia="Calibri" w:hAnsi="Calibri" w:cs="Calibri"/>
          <w:b/>
        </w:rPr>
        <w:t>LESSON :</w:t>
      </w:r>
      <w:proofErr w:type="gramEnd"/>
      <w:r>
        <w:rPr>
          <w:rFonts w:ascii="Calibri" w:eastAsia="Calibri" w:hAnsi="Calibri" w:cs="Calibri"/>
          <w:b/>
        </w:rPr>
        <w:t xml:space="preserve"> )</w:t>
      </w:r>
      <w:commentRangeEnd w:id="1"/>
      <w:r>
        <w:rPr>
          <w:rStyle w:val="CommentReference"/>
        </w:rPr>
        <w:commentReference w:id="1"/>
      </w:r>
    </w:p>
    <w:p w:rsidR="00484177" w:rsidRDefault="00484177">
      <w:pPr>
        <w:pStyle w:val="normal0"/>
      </w:pP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 xml:space="preserve">Topic: Hamlet, </w:t>
      </w:r>
      <w:r>
        <w:rPr>
          <w:i/>
          <w:sz w:val="22"/>
          <w:szCs w:val="22"/>
        </w:rPr>
        <w:t xml:space="preserve">149–164 from Act 1.2 (from “And yet, within a month/Let me not think </w:t>
      </w:r>
      <w:proofErr w:type="spellStart"/>
      <w:r>
        <w:rPr>
          <w:i/>
          <w:sz w:val="22"/>
          <w:szCs w:val="22"/>
        </w:rPr>
        <w:t>on’t</w:t>
      </w:r>
      <w:proofErr w:type="spellEnd"/>
      <w:r>
        <w:rPr>
          <w:i/>
          <w:sz w:val="22"/>
          <w:szCs w:val="22"/>
        </w:rPr>
        <w:t>” to “But break, my heart, for I must hold my tongue”).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484177" w:rsidRDefault="00567168">
      <w:pPr>
        <w:pStyle w:val="normal0"/>
      </w:pPr>
      <w:bookmarkStart w:id="2" w:name="h.30j0zll" w:colFirst="0" w:colLast="0"/>
      <w:bookmarkEnd w:id="2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 xml:space="preserve">Content Objective(s) – </w:t>
      </w:r>
      <w:r>
        <w:rPr>
          <w:rFonts w:ascii="Calibri" w:eastAsia="Calibri" w:hAnsi="Calibri" w:cs="Calibri"/>
        </w:rPr>
        <w:t>SWBAT follow the guidelines of the academic discussion rubric in order to discuss and write</w:t>
      </w:r>
      <w:r>
        <w:rPr>
          <w:rFonts w:ascii="Calibri" w:eastAsia="Calibri" w:hAnsi="Calibri" w:cs="Calibri"/>
        </w:rPr>
        <w:t xml:space="preserve"> answers to TDQs.</w:t>
      </w:r>
    </w:p>
    <w:p w:rsidR="00484177" w:rsidRDefault="00567168">
      <w:pPr>
        <w:pStyle w:val="normal0"/>
      </w:pPr>
      <w:r>
        <w:rPr>
          <w:rFonts w:ascii="Calibri" w:eastAsia="Calibri" w:hAnsi="Calibri" w:cs="Calibri"/>
          <w:color w:val="FF0000"/>
        </w:rPr>
        <w:t>What is the focus of the TDQs this time - word choice and character development?</w:t>
      </w:r>
    </w:p>
    <w:p w:rsidR="00484177" w:rsidRDefault="00567168">
      <w:pPr>
        <w:pStyle w:val="normal0"/>
      </w:pPr>
      <w:proofErr w:type="gramStart"/>
      <w:r>
        <w:rPr>
          <w:rFonts w:ascii="Calibri" w:eastAsia="Calibri" w:hAnsi="Calibri" w:cs="Calibri"/>
          <w:color w:val="FF0000"/>
        </w:rPr>
        <w:t>let’s</w:t>
      </w:r>
      <w:proofErr w:type="gramEnd"/>
      <w:r>
        <w:rPr>
          <w:rFonts w:ascii="Calibri" w:eastAsia="Calibri" w:hAnsi="Calibri" w:cs="Calibri"/>
          <w:color w:val="FF0000"/>
        </w:rPr>
        <w:t xml:space="preserve"> look at the questions together (I have the Module saved on my computer for reference) </w:t>
      </w:r>
      <w:bookmarkStart w:id="3" w:name="_GoBack"/>
      <w:bookmarkEnd w:id="3"/>
    </w:p>
    <w:p w:rsidR="00484177" w:rsidRDefault="00484177">
      <w:pPr>
        <w:pStyle w:val="normal0"/>
      </w:pP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>Language Objective(s) –</w:t>
      </w:r>
      <w:r>
        <w:rPr>
          <w:rFonts w:ascii="Calibri" w:eastAsia="Calibri" w:hAnsi="Calibri" w:cs="Calibri"/>
        </w:rPr>
        <w:t xml:space="preserve"> SWBAT choose specific words Hamlet uses</w:t>
      </w:r>
      <w:r>
        <w:rPr>
          <w:rFonts w:ascii="Calibri" w:eastAsia="Calibri" w:hAnsi="Calibri" w:cs="Calibri"/>
        </w:rPr>
        <w:t xml:space="preserve"> during his first soliloquy to examine character elements she possesses.  </w:t>
      </w:r>
    </w:p>
    <w:p w:rsidR="00484177" w:rsidRDefault="00484177">
      <w:pPr>
        <w:pStyle w:val="normal0"/>
      </w:pP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>Common Core Learning Standard(s):</w:t>
      </w:r>
    </w:p>
    <w:p w:rsidR="00484177" w:rsidRDefault="00484177">
      <w:pPr>
        <w:pStyle w:val="normal0"/>
      </w:pPr>
    </w:p>
    <w:tbl>
      <w:tblPr>
        <w:tblStyle w:val="a"/>
        <w:tblW w:w="88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4424"/>
      </w:tblGrid>
      <w:tr w:rsidR="00484177">
        <w:trPr>
          <w:trHeight w:val="400"/>
        </w:trPr>
        <w:tc>
          <w:tcPr>
            <w:tcW w:w="4424" w:type="dxa"/>
          </w:tcPr>
          <w:p w:rsidR="00484177" w:rsidRDefault="00567168">
            <w:pPr>
              <w:pStyle w:val="normal0"/>
              <w:widowControl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RL.11-12.3 </w:t>
            </w:r>
          </w:p>
        </w:tc>
        <w:tc>
          <w:tcPr>
            <w:tcW w:w="4424" w:type="dxa"/>
          </w:tcPr>
          <w:p w:rsidR="00484177" w:rsidRDefault="00567168">
            <w:pPr>
              <w:pStyle w:val="normal0"/>
              <w:widowControl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Analyze the impact of the author’s choices regarding how to develop and relate elements of a story or drama (e.g., where a story is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et, how the action is ordered, how the characters are introduced and developed). </w:t>
            </w:r>
          </w:p>
          <w:p w:rsidR="00484177" w:rsidRDefault="00484177">
            <w:pPr>
              <w:pStyle w:val="normal0"/>
              <w:widowControl/>
            </w:pPr>
          </w:p>
        </w:tc>
      </w:tr>
      <w:tr w:rsidR="00484177">
        <w:trPr>
          <w:trHeight w:val="720"/>
        </w:trPr>
        <w:tc>
          <w:tcPr>
            <w:tcW w:w="4424" w:type="dxa"/>
          </w:tcPr>
          <w:p w:rsidR="00484177" w:rsidRDefault="00567168">
            <w:pPr>
              <w:pStyle w:val="normal0"/>
              <w:widowControl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RL.11-12.4 </w:t>
            </w:r>
          </w:p>
        </w:tc>
        <w:tc>
          <w:tcPr>
            <w:tcW w:w="4424" w:type="dxa"/>
          </w:tcPr>
          <w:p w:rsidR="00484177" w:rsidRDefault="00567168">
            <w:pPr>
              <w:pStyle w:val="normal0"/>
              <w:widowControl/>
            </w:pPr>
            <w:r>
              <w:rPr>
                <w:rFonts w:ascii="Calibri" w:eastAsia="Calibri" w:hAnsi="Calibri" w:cs="Calibri"/>
                <w:sz w:val="22"/>
                <w:szCs w:val="22"/>
              </w:rPr>
              <w:t>Determine the meaning of words and phrases as they are used in the text, including figurative and connotative meanings; analyze the impact of specific word choices on meaning and tone, including words with multiple meanings or language that is particularly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fresh, engaging, or beautiful. (Include Shakespeare as well as other authors.) </w:t>
            </w:r>
          </w:p>
        </w:tc>
      </w:tr>
      <w:tr w:rsidR="00484177">
        <w:trPr>
          <w:trHeight w:val="100"/>
        </w:trPr>
        <w:tc>
          <w:tcPr>
            <w:tcW w:w="4424" w:type="dxa"/>
          </w:tcPr>
          <w:p w:rsidR="00484177" w:rsidRDefault="00484177">
            <w:pPr>
              <w:pStyle w:val="normal0"/>
              <w:widowControl/>
            </w:pPr>
          </w:p>
        </w:tc>
        <w:tc>
          <w:tcPr>
            <w:tcW w:w="4424" w:type="dxa"/>
          </w:tcPr>
          <w:p w:rsidR="00484177" w:rsidRDefault="00484177">
            <w:pPr>
              <w:pStyle w:val="normal0"/>
              <w:spacing w:after="200" w:line="276" w:lineRule="auto"/>
            </w:pPr>
          </w:p>
        </w:tc>
      </w:tr>
      <w:tr w:rsidR="00484177">
        <w:trPr>
          <w:trHeight w:val="260"/>
        </w:trPr>
        <w:tc>
          <w:tcPr>
            <w:tcW w:w="4424" w:type="dxa"/>
          </w:tcPr>
          <w:p w:rsidR="00484177" w:rsidRDefault="00567168">
            <w:pPr>
              <w:pStyle w:val="normal0"/>
              <w:widowControl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L.11-12.5 </w:t>
            </w:r>
          </w:p>
        </w:tc>
        <w:tc>
          <w:tcPr>
            <w:tcW w:w="4424" w:type="dxa"/>
          </w:tcPr>
          <w:p w:rsidR="00484177" w:rsidRDefault="00567168">
            <w:pPr>
              <w:pStyle w:val="normal0"/>
              <w:widowControl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Demonstrate understanding of figurative language, word relationships, and nuances in word meanings. </w:t>
            </w:r>
          </w:p>
        </w:tc>
      </w:tr>
    </w:tbl>
    <w:p w:rsidR="00484177" w:rsidRDefault="00484177">
      <w:pPr>
        <w:pStyle w:val="normal0"/>
      </w:pPr>
    </w:p>
    <w:p w:rsidR="00484177" w:rsidRDefault="00484177">
      <w:pPr>
        <w:pStyle w:val="normal0"/>
      </w:pP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>Assessment (How will you know students have met your objective?)</w:t>
      </w:r>
    </w:p>
    <w:p w:rsidR="00484177" w:rsidRDefault="00567168">
      <w:pPr>
        <w:pStyle w:val="normal0"/>
        <w:numPr>
          <w:ilvl w:val="0"/>
          <w:numId w:val="2"/>
        </w:numPr>
        <w:ind w:hanging="360"/>
        <w:contextualSpacing/>
      </w:pPr>
      <w:r>
        <w:rPr>
          <w:rFonts w:ascii="Calibri" w:eastAsia="Calibri" w:hAnsi="Calibri" w:cs="Calibri"/>
          <w:i/>
        </w:rPr>
        <w:t>During guided practice- following the Academic Discussion Rubric from NYS</w:t>
      </w:r>
    </w:p>
    <w:p w:rsidR="00484177" w:rsidRDefault="00567168">
      <w:pPr>
        <w:pStyle w:val="normal0"/>
        <w:widowControl/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i/>
        </w:rPr>
        <w:lastRenderedPageBreak/>
        <w:t xml:space="preserve">During independent practice- Quick Write: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How do specific word choices in Hamlet’s first soliloquy impact the development of the Queen’s character? </w:t>
      </w:r>
    </w:p>
    <w:p w:rsidR="00484177" w:rsidRDefault="00484177">
      <w:pPr>
        <w:pStyle w:val="normal0"/>
        <w:ind w:firstLine="720"/>
      </w:pPr>
    </w:p>
    <w:p w:rsidR="00484177" w:rsidRDefault="00484177">
      <w:pPr>
        <w:pStyle w:val="normal0"/>
      </w:pP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>Technology</w:t>
      </w:r>
    </w:p>
    <w:p w:rsidR="00484177" w:rsidRDefault="00567168">
      <w:pPr>
        <w:pStyle w:val="normal0"/>
        <w:ind w:firstLine="720"/>
      </w:pPr>
      <w:r>
        <w:rPr>
          <w:rFonts w:ascii="Calibri" w:eastAsia="Calibri" w:hAnsi="Calibri" w:cs="Calibri"/>
          <w:i/>
        </w:rPr>
        <w:t>How is the technology being used to meet the objectives</w:t>
      </w:r>
      <w:proofErr w:type="gramStart"/>
      <w:r>
        <w:rPr>
          <w:rFonts w:ascii="Calibri" w:eastAsia="Calibri" w:hAnsi="Calibri" w:cs="Calibri"/>
          <w:i/>
        </w:rPr>
        <w:t>?-</w:t>
      </w:r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SmartBoard</w:t>
      </w:r>
      <w:proofErr w:type="spellEnd"/>
      <w:r>
        <w:rPr>
          <w:rFonts w:ascii="Calibri" w:eastAsia="Calibri" w:hAnsi="Calibri" w:cs="Calibri"/>
          <w:i/>
        </w:rPr>
        <w:t xml:space="preserve"> to model annotations, helpful slides for vocabulary, audio of Hamle</w:t>
      </w:r>
      <w:r>
        <w:rPr>
          <w:rFonts w:ascii="Calibri" w:eastAsia="Calibri" w:hAnsi="Calibri" w:cs="Calibri"/>
          <w:i/>
        </w:rPr>
        <w:t>t, Hamlet film</w:t>
      </w: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 xml:space="preserve">Grouping Configurations </w:t>
      </w: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i/>
        </w:rPr>
        <w:t>Students work in collaborative groupings to answer TDQs</w:t>
      </w:r>
    </w:p>
    <w:p w:rsidR="00484177" w:rsidRDefault="00484177">
      <w:pPr>
        <w:pStyle w:val="normal0"/>
      </w:pP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>Materials</w:t>
      </w:r>
    </w:p>
    <w:p w:rsidR="00484177" w:rsidRDefault="00567168">
      <w:pPr>
        <w:pStyle w:val="normal0"/>
      </w:pPr>
      <w:r>
        <w:rPr>
          <w:rFonts w:ascii="Calibri" w:eastAsia="Calibri" w:hAnsi="Calibri" w:cs="Calibri"/>
        </w:rPr>
        <w:t xml:space="preserve">Hamlet Text, TDQs, Vocabulary Reference Guide, Hamlet film, Audio for Hamlet, </w:t>
      </w:r>
      <w:proofErr w:type="spellStart"/>
      <w:r>
        <w:rPr>
          <w:rFonts w:ascii="Calibri" w:eastAsia="Calibri" w:hAnsi="Calibri" w:cs="Calibri"/>
        </w:rPr>
        <w:t>Smartboard</w:t>
      </w:r>
      <w:proofErr w:type="spellEnd"/>
      <w:r>
        <w:rPr>
          <w:rFonts w:ascii="Calibri" w:eastAsia="Calibri" w:hAnsi="Calibri" w:cs="Calibri"/>
        </w:rPr>
        <w:t xml:space="preserve"> with accompanying flipcharts and </w:t>
      </w:r>
      <w:proofErr w:type="spellStart"/>
      <w:r>
        <w:rPr>
          <w:rFonts w:ascii="Calibri" w:eastAsia="Calibri" w:hAnsi="Calibri" w:cs="Calibri"/>
        </w:rPr>
        <w:t>powerpoints</w:t>
      </w:r>
      <w:proofErr w:type="spellEnd"/>
    </w:p>
    <w:p w:rsidR="00484177" w:rsidRDefault="00484177">
      <w:pPr>
        <w:pStyle w:val="normal0"/>
      </w:pP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>Key Vocabu</w:t>
      </w:r>
      <w:r>
        <w:rPr>
          <w:rFonts w:ascii="Calibri" w:eastAsia="Calibri" w:hAnsi="Calibri" w:cs="Calibri"/>
          <w:b/>
        </w:rPr>
        <w:t>lary</w:t>
      </w: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  <w:u w:val="single"/>
        </w:rPr>
        <w:t xml:space="preserve"> Students to determine in context:</w:t>
      </w:r>
    </w:p>
    <w:p w:rsidR="00484177" w:rsidRDefault="00567168">
      <w:pPr>
        <w:pStyle w:val="normal0"/>
        <w:widowControl/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or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ere (prep.) – before </w:t>
      </w:r>
    </w:p>
    <w:p w:rsidR="00484177" w:rsidRDefault="00567168">
      <w:pPr>
        <w:pStyle w:val="normal0"/>
        <w:widowControl/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incestuous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(adj.) – involving incest </w:t>
      </w:r>
    </w:p>
    <w:p w:rsidR="00484177" w:rsidRDefault="00567168">
      <w:pPr>
        <w:pStyle w:val="normal0"/>
        <w:widowControl/>
      </w:pPr>
      <w:r>
        <w:rPr>
          <w:rFonts w:ascii="Calibri" w:eastAsia="Calibri" w:hAnsi="Calibri" w:cs="Calibri"/>
          <w:b/>
          <w:u w:val="single"/>
        </w:rPr>
        <w:t xml:space="preserve">To teach explicitly: </w:t>
      </w:r>
    </w:p>
    <w:p w:rsidR="00484177" w:rsidRDefault="00567168">
      <w:pPr>
        <w:pStyle w:val="normal0"/>
        <w:widowControl/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frailty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(n.) – moral weakness; liability to yield to temptation </w:t>
      </w:r>
    </w:p>
    <w:p w:rsidR="00484177" w:rsidRDefault="00567168">
      <w:pPr>
        <w:pStyle w:val="normal0"/>
        <w:widowControl/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dexterity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(n.) – skill or adroitness in using the hands or body; agility; mental adroitness or skill; cleverness </w:t>
      </w:r>
    </w:p>
    <w:p w:rsidR="00484177" w:rsidRDefault="00484177">
      <w:pPr>
        <w:pStyle w:val="normal0"/>
        <w:widowControl/>
      </w:pP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>SIOP Learning Strategies</w:t>
      </w:r>
    </w:p>
    <w:p w:rsidR="00484177" w:rsidRDefault="00567168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Calibri" w:eastAsia="Calibri" w:hAnsi="Calibri" w:cs="Calibri"/>
          <w:b/>
        </w:rPr>
        <w:t>Preparation- Content and Language Objectives, Supplementary Materials (film/visuals/ character map)</w:t>
      </w:r>
    </w:p>
    <w:p w:rsidR="00484177" w:rsidRDefault="00567168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Calibri" w:eastAsia="Calibri" w:hAnsi="Calibri" w:cs="Calibri"/>
          <w:b/>
        </w:rPr>
        <w:t>Building Backgro</w:t>
      </w:r>
      <w:r>
        <w:rPr>
          <w:rFonts w:ascii="Calibri" w:eastAsia="Calibri" w:hAnsi="Calibri" w:cs="Calibri"/>
          <w:b/>
        </w:rPr>
        <w:t>und- Vocabulary activities</w:t>
      </w:r>
    </w:p>
    <w:p w:rsidR="00484177" w:rsidRDefault="00567168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Calibri" w:eastAsia="Calibri" w:hAnsi="Calibri" w:cs="Calibri"/>
          <w:b/>
        </w:rPr>
        <w:t>Comprehensible Input- Clear explanation of tasks</w:t>
      </w:r>
    </w:p>
    <w:p w:rsidR="00484177" w:rsidRDefault="00567168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Calibri" w:eastAsia="Calibri" w:hAnsi="Calibri" w:cs="Calibri"/>
          <w:b/>
        </w:rPr>
        <w:t>Strategies- need more for answering TDQs</w:t>
      </w:r>
    </w:p>
    <w:p w:rsidR="00484177" w:rsidRDefault="00567168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Calibri" w:eastAsia="Calibri" w:hAnsi="Calibri" w:cs="Calibri"/>
          <w:b/>
        </w:rPr>
        <w:t>Interaction- teacher is only the facilitator while students are doing most of the discussion and answering</w:t>
      </w:r>
    </w:p>
    <w:p w:rsidR="00484177" w:rsidRDefault="00567168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Calibri" w:eastAsia="Calibri" w:hAnsi="Calibri" w:cs="Calibri"/>
          <w:b/>
        </w:rPr>
        <w:t>Practice and Application- LSRW a</w:t>
      </w:r>
      <w:r>
        <w:rPr>
          <w:rFonts w:ascii="Calibri" w:eastAsia="Calibri" w:hAnsi="Calibri" w:cs="Calibri"/>
          <w:b/>
        </w:rPr>
        <w:t>ctivities all included</w:t>
      </w:r>
    </w:p>
    <w:p w:rsidR="00484177" w:rsidRDefault="00567168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Calibri" w:eastAsia="Calibri" w:hAnsi="Calibri" w:cs="Calibri"/>
          <w:b/>
        </w:rPr>
        <w:t>Lesson Delivery- students are engaged because they are familiar with the routines</w:t>
      </w:r>
    </w:p>
    <w:p w:rsidR="00484177" w:rsidRDefault="00567168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Calibri" w:eastAsia="Calibri" w:hAnsi="Calibri" w:cs="Calibri"/>
          <w:b/>
        </w:rPr>
        <w:t>Review and Assessment- Quick Write</w:t>
      </w:r>
    </w:p>
    <w:p w:rsidR="00484177" w:rsidRDefault="00484177">
      <w:pPr>
        <w:pStyle w:val="normal0"/>
      </w:pP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>Procedure</w:t>
      </w:r>
    </w:p>
    <w:p w:rsidR="00484177" w:rsidRDefault="00567168">
      <w:pPr>
        <w:pStyle w:val="normal0"/>
      </w:pPr>
      <w:r>
        <w:rPr>
          <w:rFonts w:ascii="Calibri" w:eastAsia="Calibri" w:hAnsi="Calibri" w:cs="Calibri"/>
          <w:i/>
        </w:rPr>
        <w:t>Connect to Prior Knowledge/Build Background</w:t>
      </w:r>
    </w:p>
    <w:p w:rsidR="00484177" w:rsidRDefault="00567168">
      <w:pPr>
        <w:pStyle w:val="normal0"/>
      </w:pPr>
      <w:proofErr w:type="gramStart"/>
      <w:r>
        <w:rPr>
          <w:rFonts w:ascii="Calibri" w:eastAsia="Calibri" w:hAnsi="Calibri" w:cs="Calibri"/>
          <w:b/>
          <w:i/>
        </w:rPr>
        <w:t>Vocabulary with interactive activities to build background for the close reading process.</w:t>
      </w:r>
      <w:proofErr w:type="gramEnd"/>
      <w:r>
        <w:rPr>
          <w:rFonts w:ascii="Calibri" w:eastAsia="Calibri" w:hAnsi="Calibri" w:cs="Calibri"/>
          <w:b/>
          <w:i/>
        </w:rPr>
        <w:t xml:space="preserve"> Examples are meant to activate </w:t>
      </w:r>
      <w:proofErr w:type="gramStart"/>
      <w:r>
        <w:rPr>
          <w:rFonts w:ascii="Calibri" w:eastAsia="Calibri" w:hAnsi="Calibri" w:cs="Calibri"/>
          <w:b/>
          <w:i/>
        </w:rPr>
        <w:t>students</w:t>
      </w:r>
      <w:proofErr w:type="gramEnd"/>
      <w:r>
        <w:rPr>
          <w:rFonts w:ascii="Calibri" w:eastAsia="Calibri" w:hAnsi="Calibri" w:cs="Calibri"/>
          <w:b/>
          <w:i/>
        </w:rPr>
        <w:t xml:space="preserve"> prior knowledge</w:t>
      </w:r>
    </w:p>
    <w:p w:rsidR="00484177" w:rsidRDefault="00484177">
      <w:pPr>
        <w:pStyle w:val="normal0"/>
      </w:pPr>
    </w:p>
    <w:p w:rsidR="00484177" w:rsidRDefault="00567168">
      <w:pPr>
        <w:pStyle w:val="normal0"/>
      </w:pPr>
      <w:r>
        <w:rPr>
          <w:rFonts w:ascii="Calibri" w:eastAsia="Calibri" w:hAnsi="Calibri" w:cs="Calibri"/>
          <w:i/>
        </w:rPr>
        <w:t>Modeling/Input (Teacher shows how)</w:t>
      </w: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  <w:i/>
        </w:rPr>
        <w:lastRenderedPageBreak/>
        <w:t>Modeling annotations during a masterful reading</w:t>
      </w: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  <w:i/>
        </w:rPr>
        <w:t>Slowly pulling modeling aw</w:t>
      </w:r>
      <w:r>
        <w:rPr>
          <w:rFonts w:ascii="Calibri" w:eastAsia="Calibri" w:hAnsi="Calibri" w:cs="Calibri"/>
          <w:b/>
          <w:i/>
        </w:rPr>
        <w:t xml:space="preserve">ay for </w:t>
      </w:r>
      <w:proofErr w:type="gramStart"/>
      <w:r>
        <w:rPr>
          <w:rFonts w:ascii="Calibri" w:eastAsia="Calibri" w:hAnsi="Calibri" w:cs="Calibri"/>
          <w:b/>
          <w:i/>
        </w:rPr>
        <w:t>Quick</w:t>
      </w:r>
      <w:proofErr w:type="gramEnd"/>
      <w:r>
        <w:rPr>
          <w:rFonts w:ascii="Calibri" w:eastAsia="Calibri" w:hAnsi="Calibri" w:cs="Calibri"/>
          <w:b/>
          <w:i/>
        </w:rPr>
        <w:t xml:space="preserve"> Writes and answering TDQs</w:t>
      </w:r>
    </w:p>
    <w:p w:rsidR="00484177" w:rsidRDefault="00484177">
      <w:pPr>
        <w:pStyle w:val="normal0"/>
      </w:pPr>
    </w:p>
    <w:p w:rsidR="00484177" w:rsidRDefault="00484177">
      <w:pPr>
        <w:pStyle w:val="normal0"/>
      </w:pPr>
    </w:p>
    <w:p w:rsidR="00484177" w:rsidRDefault="00567168">
      <w:pPr>
        <w:pStyle w:val="normal0"/>
      </w:pPr>
      <w:r>
        <w:rPr>
          <w:rFonts w:ascii="Calibri" w:eastAsia="Calibri" w:hAnsi="Calibri" w:cs="Calibri"/>
          <w:i/>
        </w:rPr>
        <w:t>Guided Practice (Students try with support)</w:t>
      </w: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  <w:i/>
        </w:rPr>
        <w:t>Students answer TDQs in collaborative groupings with sentence starters</w:t>
      </w:r>
    </w:p>
    <w:p w:rsidR="00484177" w:rsidRDefault="00484177">
      <w:pPr>
        <w:pStyle w:val="normal0"/>
      </w:pPr>
    </w:p>
    <w:p w:rsidR="00484177" w:rsidRDefault="00484177">
      <w:pPr>
        <w:pStyle w:val="normal0"/>
      </w:pPr>
    </w:p>
    <w:p w:rsidR="00484177" w:rsidRDefault="00567168">
      <w:pPr>
        <w:pStyle w:val="normal0"/>
      </w:pPr>
      <w:r>
        <w:rPr>
          <w:rFonts w:ascii="Calibri" w:eastAsia="Calibri" w:hAnsi="Calibri" w:cs="Calibri"/>
          <w:i/>
        </w:rPr>
        <w:t xml:space="preserve">Independent Practice / Homework </w:t>
      </w: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>Independent Practice- Quick Write</w:t>
      </w: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</w:rPr>
        <w:t>Homework- Accountable Independent Reading Folder</w:t>
      </w:r>
    </w:p>
    <w:p w:rsidR="00484177" w:rsidRDefault="00484177">
      <w:pPr>
        <w:pStyle w:val="normal0"/>
      </w:pPr>
    </w:p>
    <w:p w:rsidR="00484177" w:rsidRDefault="00567168">
      <w:pPr>
        <w:pStyle w:val="normal0"/>
      </w:pPr>
      <w:r>
        <w:rPr>
          <w:rFonts w:ascii="Calibri" w:eastAsia="Calibri" w:hAnsi="Calibri" w:cs="Calibri"/>
          <w:i/>
        </w:rPr>
        <w:t>Closure</w:t>
      </w:r>
    </w:p>
    <w:p w:rsidR="00484177" w:rsidRDefault="00567168">
      <w:pPr>
        <w:pStyle w:val="normal0"/>
      </w:pPr>
      <w:r>
        <w:rPr>
          <w:rFonts w:ascii="Calibri" w:eastAsia="Calibri" w:hAnsi="Calibri" w:cs="Calibri"/>
          <w:b/>
          <w:i/>
        </w:rPr>
        <w:t>Quick Write</w:t>
      </w:r>
    </w:p>
    <w:p w:rsidR="00484177" w:rsidRDefault="00484177">
      <w:pPr>
        <w:pStyle w:val="normal0"/>
      </w:pPr>
    </w:p>
    <w:p w:rsidR="00484177" w:rsidRDefault="00484177">
      <w:pPr>
        <w:pStyle w:val="normal0"/>
      </w:pPr>
    </w:p>
    <w:sectPr w:rsidR="0048417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PP Collaborative" w:date="2015-07-28T10:51:00Z" w:initials="BPP">
    <w:p w:rsidR="00567168" w:rsidRDefault="00567168">
      <w:pPr>
        <w:pStyle w:val="CommentText"/>
      </w:pPr>
      <w:r>
        <w:rPr>
          <w:rStyle w:val="CommentReference"/>
        </w:rPr>
        <w:annotationRef/>
      </w:r>
      <w:r>
        <w:t>9/30/2014 10:36 PM</w:t>
      </w:r>
      <w:r>
        <w:br/>
        <w:t xml:space="preserve">101 - </w:t>
      </w:r>
      <w:r>
        <w:rPr>
          <w:rFonts w:ascii="Arial" w:eastAsia="Arial" w:hAnsi="Arial" w:cs="Arial"/>
          <w:sz w:val="22"/>
          <w:szCs w:val="22"/>
        </w:rPr>
        <w:t>Great!  I have some ideas to share.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7168">
      <w:r>
        <w:separator/>
      </w:r>
    </w:p>
  </w:endnote>
  <w:endnote w:type="continuationSeparator" w:id="0">
    <w:p w:rsidR="00000000" w:rsidRDefault="0056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77" w:rsidRDefault="00567168">
    <w:pPr>
      <w:pStyle w:val="normal0"/>
      <w:ind w:left="-718"/>
      <w:jc w:val="center"/>
    </w:pPr>
    <w:r>
      <w:rPr>
        <w:sz w:val="16"/>
        <w:szCs w:val="16"/>
      </w:rPr>
      <w:t>BPP Collaborative</w:t>
    </w:r>
  </w:p>
  <w:p w:rsidR="00484177" w:rsidRDefault="00567168">
    <w:pPr>
      <w:pStyle w:val="normal0"/>
      <w:ind w:left="-718"/>
      <w:jc w:val="center"/>
    </w:pPr>
    <w:r>
      <w:rPr>
        <w:sz w:val="16"/>
        <w:szCs w:val="16"/>
      </w:rPr>
      <w:t>Jennifer A. Schiller (Project Manager)</w:t>
    </w:r>
  </w:p>
  <w:p w:rsidR="00484177" w:rsidRDefault="00567168">
    <w:pPr>
      <w:pStyle w:val="normal0"/>
      <w:ind w:left="-718"/>
      <w:jc w:val="center"/>
    </w:pPr>
    <w:r>
      <w:rPr>
        <w:sz w:val="16"/>
        <w:szCs w:val="16"/>
      </w:rPr>
      <w:t>212 Baldy Hall</w:t>
    </w:r>
  </w:p>
  <w:p w:rsidR="00484177" w:rsidRDefault="00567168">
    <w:pPr>
      <w:pStyle w:val="normal0"/>
      <w:ind w:left="-718"/>
      <w:jc w:val="center"/>
    </w:pPr>
    <w:r>
      <w:rPr>
        <w:sz w:val="16"/>
        <w:szCs w:val="16"/>
      </w:rPr>
      <w:t>Amherst, NY 14260</w:t>
    </w:r>
  </w:p>
  <w:p w:rsidR="00484177" w:rsidRDefault="00567168">
    <w:pPr>
      <w:pStyle w:val="normal0"/>
      <w:ind w:left="-718"/>
      <w:jc w:val="center"/>
    </w:pPr>
    <w:r>
      <w:rPr>
        <w:sz w:val="16"/>
        <w:szCs w:val="16"/>
      </w:rPr>
      <w:t>716-645-4048</w:t>
    </w:r>
  </w:p>
  <w:p w:rsidR="00484177" w:rsidRDefault="00567168">
    <w:pPr>
      <w:pStyle w:val="normal0"/>
      <w:ind w:left="-718"/>
      <w:jc w:val="center"/>
    </w:pPr>
    <w:r>
      <w:rPr>
        <w:sz w:val="16"/>
        <w:szCs w:val="16"/>
      </w:rPr>
      <w:t>bppcollab</w:t>
    </w:r>
    <w:r>
      <w:rPr>
        <w:sz w:val="16"/>
        <w:szCs w:val="16"/>
      </w:rPr>
      <w:t>orative@gmail.com</w:t>
    </w:r>
  </w:p>
  <w:p w:rsidR="00484177" w:rsidRDefault="00484177">
    <w:pPr>
      <w:pStyle w:val="normal0"/>
      <w:tabs>
        <w:tab w:val="center" w:pos="4320"/>
        <w:tab w:val="right" w:pos="8640"/>
      </w:tabs>
    </w:pPr>
    <w:bookmarkStart w:id="4" w:name="h.1fob9te" w:colFirst="0" w:colLast="0"/>
    <w:bookmarkEnd w:id="4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7168">
      <w:r>
        <w:separator/>
      </w:r>
    </w:p>
  </w:footnote>
  <w:footnote w:type="continuationSeparator" w:id="0">
    <w:p w:rsidR="00000000" w:rsidRDefault="005671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77" w:rsidRDefault="00567168">
    <w:pPr>
      <w:pStyle w:val="normal0"/>
      <w:tabs>
        <w:tab w:val="center" w:pos="4320"/>
        <w:tab w:val="right" w:pos="8640"/>
      </w:tabs>
    </w:pPr>
    <w:r>
      <w:rPr>
        <w:noProof/>
      </w:rPr>
      <w:drawing>
        <wp:inline distT="0" distB="0" distL="0" distR="0">
          <wp:extent cx="5943600" cy="623711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23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BDC"/>
    <w:multiLevelType w:val="multilevel"/>
    <w:tmpl w:val="D9228D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2BA6B1B"/>
    <w:multiLevelType w:val="multilevel"/>
    <w:tmpl w:val="95DEE8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33D19CA"/>
    <w:multiLevelType w:val="multilevel"/>
    <w:tmpl w:val="441AE7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2837C06"/>
    <w:multiLevelType w:val="multilevel"/>
    <w:tmpl w:val="A23C66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4177"/>
    <w:rsid w:val="00484177"/>
    <w:rsid w:val="0056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68"/>
  </w:style>
  <w:style w:type="paragraph" w:styleId="Footer">
    <w:name w:val="footer"/>
    <w:basedOn w:val="Normal"/>
    <w:link w:val="FooterChar"/>
    <w:uiPriority w:val="99"/>
    <w:unhideWhenUsed/>
    <w:rsid w:val="00567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1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1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68"/>
  </w:style>
  <w:style w:type="paragraph" w:styleId="Footer">
    <w:name w:val="footer"/>
    <w:basedOn w:val="Normal"/>
    <w:link w:val="FooterChar"/>
    <w:uiPriority w:val="99"/>
    <w:unhideWhenUsed/>
    <w:rsid w:val="00567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1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3104</Characters>
  <Application>Microsoft Macintosh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BPP Collaborative</cp:lastModifiedBy>
  <cp:revision>2</cp:revision>
  <dcterms:created xsi:type="dcterms:W3CDTF">2015-07-28T14:51:00Z</dcterms:created>
  <dcterms:modified xsi:type="dcterms:W3CDTF">2015-07-28T14:51:00Z</dcterms:modified>
</cp:coreProperties>
</file>